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rPr>
      </w:pPr>
      <w:r>
        <w:rPr>
          <w:rFonts w:hint="eastAsia" w:ascii="黑体" w:hAnsi="黑体" w:eastAsia="黑体" w:cs="黑体"/>
          <w:sz w:val="32"/>
          <w:szCs w:val="32"/>
        </w:rPr>
        <w:t>附件</w:t>
      </w:r>
    </w:p>
    <w:p>
      <w:pPr>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审计专业技术资格考试报名事项的说明</w:t>
      </w:r>
    </w:p>
    <w:p>
      <w:pPr>
        <w:spacing w:line="560" w:lineRule="exact"/>
        <w:ind w:firstLine="640" w:firstLineChars="200"/>
        <w:rPr>
          <w:rFonts w:hint="eastAsia" w:ascii="仿宋_GB2312" w:hAnsi="仿宋_GB2312" w:eastAsia="仿宋_GB2312" w:cs="仿宋_GB2312"/>
          <w:sz w:val="32"/>
          <w:szCs w:val="32"/>
        </w:rPr>
      </w:pP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一、应届毕业生报名考试</w:t>
      </w:r>
    </w:p>
    <w:p>
      <w:pPr>
        <w:spacing w:line="560" w:lineRule="exact"/>
        <w:ind w:firstLine="640" w:firstLineChars="200"/>
        <w:rPr>
          <w:rFonts w:hint="eastAsia" w:ascii="宋体" w:hAnsi="宋体" w:cs="宋体"/>
          <w:sz w:val="32"/>
          <w:szCs w:val="32"/>
        </w:rPr>
      </w:pPr>
      <w:r>
        <w:rPr>
          <w:rFonts w:hint="eastAsia" w:ascii="仿宋_GB2312" w:hAnsi="仿宋_GB2312" w:eastAsia="仿宋_GB2312" w:cs="仿宋_GB2312"/>
          <w:sz w:val="32"/>
          <w:szCs w:val="32"/>
        </w:rPr>
        <w:t>应届毕业生可以凭所在院校开具的应届毕业证明作为符合相应学历条件，报名参加当年度初、中、高级审计专业技术资格考试。考试合格人员领取证书时应补充提交学历学位证书信息等。</w:t>
      </w: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二、港澳台和外国籍人员报名考试</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港澳台和外国籍人员可以报名参加审计专业技术资格考试。港澳台和外国籍人员持内地高等学校毕业证书的，可以直接填报相关信息；持香港、澳门、台湾地区或者国外高等学校学历或者学位证书的，学历、学位证书须经教育部留学服务中心认证。符合考试报名条件的港澳台和外国籍人员在内地工作地或居住地就近报名。</w:t>
      </w:r>
    </w:p>
    <w:p>
      <w:pPr>
        <w:spacing w:line="560" w:lineRule="exact"/>
        <w:ind w:firstLine="640" w:firstLineChars="200"/>
        <w:rPr>
          <w:rFonts w:hint="eastAsia" w:ascii="宋体" w:hAnsi="宋体" w:cs="宋体"/>
          <w:sz w:val="32"/>
          <w:szCs w:val="32"/>
        </w:rPr>
      </w:pPr>
      <w:r>
        <w:rPr>
          <w:rFonts w:hint="eastAsia" w:ascii="黑体" w:hAnsi="黑体" w:eastAsia="黑体" w:cs="黑体"/>
          <w:sz w:val="32"/>
          <w:szCs w:val="32"/>
        </w:rPr>
        <w:t>三、其他职称、职业资格人员报名考试</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取得二级造价工程师、资产评估师、税务师职业资格证书，可以直接对应初级审计专业技术资格，按照规定的学历、年限条件报名参加中级审计专业技术资格考试。</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取得注册会计师全国统一考试合格证书、一级造价工程师职业资格证书，或者在取得资产评估师、税务师职业资格证书时满足中级审计专业技术资格规定的学历和年限条件，可以直接对应中级审计专业技术资格，按照规定的学历、年限条件报名参加高级审计专业技术资格考试。</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取得会计师、经济师、统计师、工程师中级职称，可以视同具备中级审计专业技术资格，按照规定的学历、年限条件报名参加高级审计专业技术资格考试。根据有关职称制度改革的指导意见和资格规定，相关职业资格可对应的会计、经济、统计、工程中级职称如下:</w:t>
      </w:r>
    </w:p>
    <w:tbl>
      <w:tblPr>
        <w:tblStyle w:val="2"/>
        <w:tblW w:w="9090"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7"/>
        <w:gridCol w:w="3306"/>
        <w:gridCol w:w="1934"/>
        <w:gridCol w:w="1422"/>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727" w:type="dxa"/>
            <w:noWrap w:val="0"/>
            <w:vAlign w:val="top"/>
          </w:tcPr>
          <w:p>
            <w:pPr>
              <w:keepNext w:val="0"/>
              <w:keepLines w:val="0"/>
              <w:pageBreakBefore w:val="0"/>
              <w:widowControl w:val="0"/>
              <w:kinsoku/>
              <w:wordWrap/>
              <w:overflowPunct/>
              <w:topLinePunct w:val="0"/>
              <w:autoSpaceDE/>
              <w:autoSpaceDN/>
              <w:bidi w:val="0"/>
              <w:adjustRightInd/>
              <w:snapToGrid/>
              <w:spacing w:line="300" w:lineRule="atLeast"/>
              <w:ind w:left="4"/>
              <w:jc w:val="center"/>
              <w:textAlignment w:val="auto"/>
              <w:rPr>
                <w:rFonts w:ascii="方正小标宋简体" w:hAnsi="宋体" w:eastAsia="方正小标宋简体" w:cs="宋体"/>
                <w:sz w:val="24"/>
                <w:szCs w:val="24"/>
              </w:rPr>
            </w:pPr>
            <w:r>
              <w:rPr>
                <w:rFonts w:hint="eastAsia" w:ascii="方正小标宋简体" w:hAnsi="宋体" w:eastAsia="方正小标宋简体" w:cs="宋体"/>
                <w:spacing w:val="8"/>
                <w:sz w:val="22"/>
                <w:szCs w:val="22"/>
              </w:rPr>
              <w:t>序号</w:t>
            </w:r>
          </w:p>
        </w:tc>
        <w:tc>
          <w:tcPr>
            <w:tcW w:w="3306" w:type="dxa"/>
            <w:noWrap w:val="0"/>
            <w:vAlign w:val="top"/>
          </w:tcPr>
          <w:p>
            <w:pPr>
              <w:keepNext w:val="0"/>
              <w:keepLines w:val="0"/>
              <w:pageBreakBefore w:val="0"/>
              <w:widowControl w:val="0"/>
              <w:kinsoku/>
              <w:wordWrap/>
              <w:overflowPunct/>
              <w:topLinePunct w:val="0"/>
              <w:autoSpaceDE/>
              <w:autoSpaceDN/>
              <w:bidi w:val="0"/>
              <w:adjustRightInd/>
              <w:snapToGrid/>
              <w:spacing w:line="300" w:lineRule="atLeast"/>
              <w:ind w:left="390"/>
              <w:jc w:val="center"/>
              <w:textAlignment w:val="auto"/>
              <w:rPr>
                <w:rFonts w:ascii="方正小标宋简体" w:hAnsi="宋体" w:eastAsia="方正小标宋简体" w:cs="宋体"/>
                <w:sz w:val="24"/>
                <w:szCs w:val="24"/>
              </w:rPr>
            </w:pPr>
            <w:r>
              <w:rPr>
                <w:rFonts w:hint="eastAsia" w:ascii="方正小标宋简体" w:hAnsi="宋体" w:eastAsia="方正小标宋简体" w:cs="宋体"/>
                <w:spacing w:val="2"/>
                <w:sz w:val="24"/>
                <w:szCs w:val="24"/>
              </w:rPr>
              <w:t>职业资格名称</w:t>
            </w:r>
          </w:p>
        </w:tc>
        <w:tc>
          <w:tcPr>
            <w:tcW w:w="1934" w:type="dxa"/>
            <w:noWrap w:val="0"/>
            <w:vAlign w:val="top"/>
          </w:tcPr>
          <w:p>
            <w:pPr>
              <w:keepNext w:val="0"/>
              <w:keepLines w:val="0"/>
              <w:pageBreakBefore w:val="0"/>
              <w:widowControl w:val="0"/>
              <w:kinsoku/>
              <w:wordWrap/>
              <w:overflowPunct/>
              <w:topLinePunct w:val="0"/>
              <w:autoSpaceDE/>
              <w:autoSpaceDN/>
              <w:bidi w:val="0"/>
              <w:adjustRightInd/>
              <w:snapToGrid/>
              <w:spacing w:line="300" w:lineRule="atLeast"/>
              <w:jc w:val="center"/>
              <w:textAlignment w:val="auto"/>
              <w:rPr>
                <w:rFonts w:ascii="方正小标宋简体" w:hAnsi="宋体" w:eastAsia="方正小标宋简体" w:cs="宋体"/>
                <w:sz w:val="24"/>
                <w:szCs w:val="24"/>
              </w:rPr>
            </w:pPr>
            <w:r>
              <w:rPr>
                <w:rFonts w:hint="eastAsia" w:ascii="方正小标宋简体" w:hAnsi="宋体" w:eastAsia="方正小标宋简体" w:cs="宋体"/>
                <w:spacing w:val="11"/>
                <w:sz w:val="24"/>
                <w:szCs w:val="24"/>
              </w:rPr>
              <w:t>级别</w:t>
            </w:r>
          </w:p>
        </w:tc>
        <w:tc>
          <w:tcPr>
            <w:tcW w:w="1422" w:type="dxa"/>
            <w:noWrap w:val="0"/>
            <w:vAlign w:val="top"/>
          </w:tcPr>
          <w:p>
            <w:pPr>
              <w:keepNext w:val="0"/>
              <w:keepLines w:val="0"/>
              <w:pageBreakBefore w:val="0"/>
              <w:widowControl w:val="0"/>
              <w:kinsoku/>
              <w:wordWrap/>
              <w:overflowPunct/>
              <w:topLinePunct w:val="0"/>
              <w:autoSpaceDE/>
              <w:autoSpaceDN/>
              <w:bidi w:val="0"/>
              <w:adjustRightInd/>
              <w:snapToGrid/>
              <w:spacing w:line="300" w:lineRule="atLeast"/>
              <w:jc w:val="center"/>
              <w:textAlignment w:val="auto"/>
              <w:rPr>
                <w:rFonts w:ascii="方正小标宋简体" w:hAnsi="宋体" w:eastAsia="方正小标宋简体" w:cs="宋体"/>
                <w:sz w:val="24"/>
                <w:szCs w:val="24"/>
              </w:rPr>
            </w:pPr>
            <w:r>
              <w:rPr>
                <w:rFonts w:hint="eastAsia" w:ascii="方正小标宋简体" w:hAnsi="宋体" w:eastAsia="方正小标宋简体" w:cs="宋体"/>
                <w:spacing w:val="5"/>
                <w:sz w:val="24"/>
                <w:szCs w:val="24"/>
              </w:rPr>
              <w:t>资格类别</w:t>
            </w:r>
          </w:p>
        </w:tc>
        <w:tc>
          <w:tcPr>
            <w:tcW w:w="1701" w:type="dxa"/>
            <w:noWrap w:val="0"/>
            <w:vAlign w:val="top"/>
          </w:tcPr>
          <w:p>
            <w:pPr>
              <w:keepNext w:val="0"/>
              <w:keepLines w:val="0"/>
              <w:pageBreakBefore w:val="0"/>
              <w:widowControl w:val="0"/>
              <w:kinsoku/>
              <w:wordWrap/>
              <w:overflowPunct/>
              <w:topLinePunct w:val="0"/>
              <w:autoSpaceDE/>
              <w:autoSpaceDN/>
              <w:bidi w:val="0"/>
              <w:adjustRightInd/>
              <w:snapToGrid/>
              <w:spacing w:line="300" w:lineRule="atLeast"/>
              <w:jc w:val="center"/>
              <w:textAlignment w:val="auto"/>
              <w:rPr>
                <w:rFonts w:ascii="方正小标宋简体" w:hAnsi="宋体" w:eastAsia="方正小标宋简体" w:cs="宋体"/>
                <w:sz w:val="24"/>
                <w:szCs w:val="24"/>
              </w:rPr>
            </w:pPr>
            <w:r>
              <w:rPr>
                <w:rFonts w:hint="eastAsia" w:ascii="方正小标宋简体" w:hAnsi="宋体" w:eastAsia="方正小标宋简体" w:cs="宋体"/>
                <w:spacing w:val="3"/>
                <w:sz w:val="24"/>
                <w:szCs w:val="24"/>
              </w:rPr>
              <w:t>对应职称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zCs w:val="21"/>
              </w:rPr>
            </w:pPr>
            <w:r>
              <w:rPr>
                <w:rFonts w:hint="eastAsia" w:ascii="仿宋_GB2312" w:hAnsi="宋体" w:eastAsia="仿宋_GB2312" w:cs="宋体"/>
                <w:szCs w:val="21"/>
              </w:rPr>
              <w:t>1</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1"/>
                <w:szCs w:val="21"/>
              </w:rPr>
              <w:t>会计专业技术资格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zCs w:val="21"/>
              </w:rPr>
            </w:pPr>
            <w:r>
              <w:rPr>
                <w:rFonts w:hint="eastAsia" w:ascii="仿宋_GB2312" w:hAnsi="宋体" w:eastAsia="仿宋_GB2312" w:cs="宋体"/>
                <w:spacing w:val="8"/>
                <w:szCs w:val="21"/>
              </w:rPr>
              <w:t>中级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2"/>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8"/>
                <w:szCs w:val="21"/>
              </w:rPr>
              <w:t>会计师(中级)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zCs w:val="21"/>
              </w:rPr>
            </w:pPr>
            <w:r>
              <w:rPr>
                <w:rFonts w:hint="eastAsia" w:ascii="仿宋_GB2312" w:hAnsi="宋体" w:eastAsia="仿宋_GB2312" w:cs="宋体"/>
                <w:szCs w:val="21"/>
              </w:rPr>
              <w:t>2</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1"/>
                <w:szCs w:val="21"/>
              </w:rPr>
              <w:t>经济专业技术资格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zCs w:val="21"/>
              </w:rPr>
            </w:pPr>
            <w:r>
              <w:rPr>
                <w:rFonts w:hint="eastAsia" w:ascii="仿宋_GB2312" w:hAnsi="宋体" w:eastAsia="仿宋_GB2312" w:cs="宋体"/>
                <w:spacing w:val="8"/>
                <w:szCs w:val="21"/>
              </w:rPr>
              <w:t>中级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2"/>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8"/>
                <w:szCs w:val="21"/>
              </w:rPr>
              <w:t>经济师(中级)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zCs w:val="21"/>
              </w:rPr>
            </w:pPr>
            <w:r>
              <w:rPr>
                <w:rFonts w:hint="eastAsia" w:ascii="仿宋_GB2312" w:hAnsi="宋体" w:eastAsia="仿宋_GB2312" w:cs="宋体"/>
                <w:szCs w:val="21"/>
              </w:rPr>
              <w:t>3</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2"/>
                <w:szCs w:val="21"/>
              </w:rPr>
              <w:t>房地产估价师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firstLine="525" w:firstLineChars="250"/>
              <w:jc w:val="center"/>
              <w:textAlignment w:val="auto"/>
              <w:rPr>
                <w:rFonts w:hint="eastAsia" w:ascii="仿宋_GB2312" w:hAnsi="等线" w:eastAsia="仿宋_GB2312"/>
                <w:szCs w:val="21"/>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4"/>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8"/>
                <w:szCs w:val="21"/>
              </w:rPr>
              <w:t>经济师(中级)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zCs w:val="21"/>
              </w:rPr>
            </w:pPr>
            <w:r>
              <w:rPr>
                <w:rFonts w:hint="eastAsia" w:ascii="仿宋_GB2312" w:hAnsi="宋体" w:eastAsia="仿宋_GB2312" w:cs="宋体"/>
                <w:szCs w:val="21"/>
              </w:rPr>
              <w:t>4</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jc w:val="left"/>
              <w:textAlignment w:val="auto"/>
              <w:rPr>
                <w:rFonts w:hint="eastAsia" w:ascii="仿宋_GB2312" w:hAnsi="宋体" w:eastAsia="仿宋_GB2312" w:cs="宋体"/>
                <w:spacing w:val="5"/>
                <w:szCs w:val="21"/>
              </w:rPr>
            </w:pPr>
            <w:r>
              <w:rPr>
                <w:rFonts w:hint="eastAsia" w:ascii="仿宋_GB2312" w:hAnsi="宋体" w:eastAsia="仿宋_GB2312" w:cs="宋体"/>
                <w:spacing w:val="10"/>
                <w:szCs w:val="21"/>
              </w:rPr>
              <w:t>工程咨询(投资)专</w:t>
            </w:r>
            <w:r>
              <w:rPr>
                <w:rFonts w:hint="eastAsia" w:ascii="仿宋_GB2312" w:hAnsi="宋体" w:eastAsia="仿宋_GB2312" w:cs="宋体"/>
                <w:spacing w:val="5"/>
                <w:szCs w:val="21"/>
              </w:rPr>
              <w:t>业技术人员</w:t>
            </w:r>
          </w:p>
          <w:p>
            <w:pPr>
              <w:keepNext w:val="0"/>
              <w:keepLines w:val="0"/>
              <w:pageBreakBefore w:val="0"/>
              <w:widowControl w:val="0"/>
              <w:kinsoku/>
              <w:wordWrap/>
              <w:overflowPunct/>
              <w:topLinePunct w:val="0"/>
              <w:autoSpaceDE/>
              <w:autoSpaceDN/>
              <w:bidi w:val="0"/>
              <w:adjustRightInd/>
              <w:snapToGrid/>
              <w:spacing w:line="300" w:lineRule="atLeast"/>
              <w:jc w:val="left"/>
              <w:textAlignment w:val="auto"/>
              <w:rPr>
                <w:rFonts w:hint="eastAsia" w:ascii="仿宋_GB2312" w:hAnsi="宋体" w:eastAsia="仿宋_GB2312" w:cs="宋体"/>
                <w:szCs w:val="21"/>
              </w:rPr>
            </w:pPr>
            <w:r>
              <w:rPr>
                <w:rFonts w:hint="eastAsia" w:ascii="仿宋_GB2312" w:hAnsi="宋体" w:eastAsia="仿宋_GB2312" w:cs="宋体"/>
                <w:spacing w:val="5"/>
                <w:szCs w:val="21"/>
              </w:rPr>
              <w:t>职业资格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firstLine="525" w:firstLineChars="250"/>
              <w:jc w:val="center"/>
              <w:textAlignment w:val="auto"/>
              <w:rPr>
                <w:rFonts w:hint="eastAsia" w:ascii="仿宋_GB2312" w:hAnsi="等线" w:eastAsia="仿宋_GB2312"/>
                <w:szCs w:val="21"/>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2"/>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8"/>
                <w:szCs w:val="21"/>
              </w:rPr>
              <w:t>经济师(中级)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zCs w:val="21"/>
              </w:rPr>
            </w:pPr>
            <w:r>
              <w:rPr>
                <w:rFonts w:hint="eastAsia" w:ascii="仿宋_GB2312" w:hAnsi="宋体" w:eastAsia="仿宋_GB2312" w:cs="宋体"/>
                <w:szCs w:val="21"/>
              </w:rPr>
              <w:t>5</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hanging="389"/>
              <w:jc w:val="right"/>
              <w:textAlignment w:val="auto"/>
              <w:rPr>
                <w:rFonts w:hint="eastAsia" w:ascii="仿宋_GB2312" w:hAnsi="宋体" w:eastAsia="仿宋_GB2312" w:cs="宋体"/>
                <w:szCs w:val="21"/>
              </w:rPr>
            </w:pPr>
            <w:r>
              <w:rPr>
                <w:rFonts w:hint="eastAsia" w:ascii="仿宋_GB2312" w:hAnsi="宋体" w:eastAsia="仿宋_GB2312" w:cs="宋体"/>
                <w:spacing w:val="5"/>
                <w:szCs w:val="21"/>
              </w:rPr>
              <w:t>不动产登记代理专业</w:t>
            </w:r>
            <w:r>
              <w:rPr>
                <w:rFonts w:hint="eastAsia" w:ascii="仿宋_GB2312" w:hAnsi="宋体" w:eastAsia="仿宋_GB2312" w:cs="宋体"/>
                <w:spacing w:val="11"/>
                <w:szCs w:val="21"/>
              </w:rPr>
              <w:t>人员职业资格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firstLine="525" w:firstLineChars="250"/>
              <w:jc w:val="center"/>
              <w:textAlignment w:val="auto"/>
              <w:rPr>
                <w:rFonts w:hint="eastAsia" w:ascii="仿宋_GB2312" w:hAnsi="等线" w:eastAsia="仿宋_GB2312"/>
                <w:szCs w:val="21"/>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2"/>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zCs w:val="21"/>
              </w:rPr>
            </w:pPr>
            <w:r>
              <w:rPr>
                <w:rFonts w:hint="eastAsia" w:ascii="仿宋_GB2312" w:hAnsi="宋体" w:eastAsia="仿宋_GB2312" w:cs="宋体"/>
                <w:spacing w:val="8"/>
                <w:szCs w:val="21"/>
              </w:rPr>
              <w:t>经济师(中级)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6</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both"/>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房地产经纪专业人员职业资格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房地产经纪人</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经济师(中级)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7</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hanging="948"/>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银行业专业人职业资格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中级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经济师(中级)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8</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统计专业技术资格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中级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统计师(中级)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9</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注册城乡规划师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firstLine="525" w:firstLineChars="250"/>
              <w:jc w:val="left"/>
              <w:textAlignment w:val="auto"/>
              <w:rPr>
                <w:rFonts w:ascii="等线" w:hAnsi="等线" w:eastAsia="等线"/>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10</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注册测绘师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firstLine="525" w:firstLineChars="250"/>
              <w:jc w:val="left"/>
              <w:textAlignment w:val="auto"/>
              <w:rPr>
                <w:rFonts w:ascii="等线" w:hAnsi="等线" w:eastAsia="等线"/>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11</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注册核安全工程师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firstLine="525" w:firstLineChars="250"/>
              <w:jc w:val="left"/>
              <w:textAlignment w:val="auto"/>
              <w:rPr>
                <w:rFonts w:ascii="等线" w:hAnsi="等线" w:eastAsia="等线"/>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12</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注册建筑师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一级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13</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监理工程师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14</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建造师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一级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15</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勘察设计注册工程师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right="13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 w:val="18"/>
                <w:szCs w:val="18"/>
              </w:rPr>
              <w:t>分级</w:t>
            </w:r>
            <w:r>
              <w:rPr>
                <w:rFonts w:ascii="仿宋_GB2312" w:hAnsi="宋体" w:eastAsia="仿宋_GB2312" w:cs="宋体"/>
                <w:spacing w:val="5"/>
                <w:sz w:val="18"/>
                <w:szCs w:val="18"/>
              </w:rPr>
              <w:t>注册</w:t>
            </w:r>
            <w:r>
              <w:rPr>
                <w:rFonts w:hint="eastAsia" w:ascii="仿宋_GB2312" w:hAnsi="宋体" w:eastAsia="仿宋_GB2312" w:cs="宋体"/>
                <w:spacing w:val="5"/>
                <w:sz w:val="18"/>
                <w:szCs w:val="18"/>
              </w:rPr>
              <w:t>的</w:t>
            </w:r>
            <w:r>
              <w:rPr>
                <w:rFonts w:ascii="仿宋_GB2312" w:hAnsi="宋体" w:eastAsia="仿宋_GB2312" w:cs="宋体"/>
                <w:spacing w:val="5"/>
                <w:sz w:val="18"/>
                <w:szCs w:val="18"/>
              </w:rPr>
              <w:t>为一级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16</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注册验船师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A级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17</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注册安全工程师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中级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18</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注册消防工程师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一级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19</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注册计量师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一级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准入类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20</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通信专业技术人员职业资格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中级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0"/>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21</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250" w:right="1" w:hanging="520"/>
              <w:jc w:val="righ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计算机技术与软件专业技术资格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250" w:firstLine="440" w:firstLineChars="200"/>
              <w:jc w:val="both"/>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中级</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22</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环境影响评价工程师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250" w:firstLine="220" w:firstLineChars="100"/>
              <w:textAlignment w:val="auto"/>
              <w:rPr>
                <w:rFonts w:hint="eastAsia" w:ascii="仿宋_GB2312" w:hAnsi="宋体" w:eastAsia="仿宋_GB2312" w:cs="宋体"/>
                <w:spacing w:val="5"/>
                <w:szCs w:val="21"/>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23</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right="25"/>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机动车检测维修专业技术人员   职业资格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right="130"/>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机动车</w:t>
            </w:r>
            <w:r>
              <w:rPr>
                <w:rFonts w:ascii="仿宋_GB2312" w:hAnsi="宋体" w:eastAsia="仿宋_GB2312" w:cs="宋体"/>
                <w:spacing w:val="5"/>
                <w:szCs w:val="21"/>
              </w:rPr>
              <w:t>检测维修工程师</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24</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right="25"/>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公路水运工程试验检测专业技术人员职业资格</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right="130"/>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公路水运工程试验检测师</w:t>
            </w: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2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jc w:val="center"/>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25</w:t>
            </w:r>
          </w:p>
        </w:tc>
        <w:tc>
          <w:tcPr>
            <w:tcW w:w="330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right="25"/>
              <w:jc w:val="lef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设备监理师</w:t>
            </w:r>
          </w:p>
        </w:tc>
        <w:tc>
          <w:tcPr>
            <w:tcW w:w="1934"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ind w:left="531"/>
              <w:jc w:val="left"/>
              <w:textAlignment w:val="auto"/>
              <w:rPr>
                <w:rFonts w:hint="eastAsia" w:ascii="仿宋_GB2312" w:hAnsi="宋体" w:eastAsia="仿宋_GB2312" w:cs="宋体"/>
                <w:spacing w:val="5"/>
                <w:szCs w:val="21"/>
              </w:rPr>
            </w:pPr>
          </w:p>
        </w:tc>
        <w:tc>
          <w:tcPr>
            <w:tcW w:w="1422"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水平评价类</w:t>
            </w:r>
          </w:p>
        </w:tc>
        <w:tc>
          <w:tcPr>
            <w:tcW w:w="1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宋体" w:eastAsia="仿宋_GB2312" w:cs="宋体"/>
                <w:spacing w:val="5"/>
                <w:szCs w:val="21"/>
              </w:rPr>
            </w:pPr>
            <w:r>
              <w:rPr>
                <w:rFonts w:hint="eastAsia" w:ascii="仿宋_GB2312" w:hAnsi="宋体" w:eastAsia="仿宋_GB2312" w:cs="宋体"/>
                <w:spacing w:val="5"/>
                <w:szCs w:val="21"/>
              </w:rPr>
              <w:t>工程师(中级)</w:t>
            </w:r>
          </w:p>
        </w:tc>
      </w:tr>
    </w:tbl>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具备其他系列副高级职称以上资格，在审计相关工作岗位从事审计相关工作满2年，可以视作符合规定的学历、年限条件，可报名参加高级审计专业技术资格考试。</w:t>
      </w: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四、从事审计相关工作界定</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在审计及相关合规、稽核、内部控制、风险管理等岗位工作;或者在会计、经济、统计、工程或教育科研等岗位工作，且有相关审计实践经验的;可以视同从事审计相关工作。</w:t>
      </w: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五、工作年限计算</w:t>
      </w:r>
    </w:p>
    <w:p>
      <w:pPr>
        <w:widowControl/>
        <w:adjustRightInd w:val="0"/>
        <w:snapToGrid w:val="0"/>
        <w:spacing w:line="560" w:lineRule="exact"/>
        <w:ind w:firstLine="640" w:firstLineChars="200"/>
        <w:rPr>
          <w:rFonts w:hint="eastAsia" w:ascii="仿宋_GB2312" w:hAnsi="仿宋" w:eastAsia="仿宋_GB2312" w:cs="宋体"/>
          <w:color w:val="000000"/>
          <w:kern w:val="0"/>
          <w:sz w:val="32"/>
          <w:szCs w:val="32"/>
          <w:lang w:val="en" w:eastAsia="zh-CN"/>
        </w:rPr>
      </w:pPr>
      <w:bookmarkStart w:id="0" w:name="_GoBack"/>
      <w:bookmarkEnd w:id="0"/>
      <w:r>
        <w:rPr>
          <w:rFonts w:hint="eastAsia" w:ascii="仿宋_GB2312" w:hAnsi="仿宋_GB2312" w:eastAsia="仿宋_GB2312" w:cs="仿宋_GB2312"/>
          <w:sz w:val="32"/>
          <w:szCs w:val="32"/>
        </w:rPr>
        <w:t>取得相应学历学位前后的审计相关工作年限合并计算，工作年限计算截止日期为考试年度的12月31日。</w:t>
      </w:r>
    </w:p>
    <w:p>
      <w:pPr>
        <w:widowControl/>
        <w:adjustRightInd w:val="0"/>
        <w:snapToGrid w:val="0"/>
        <w:spacing w:line="560" w:lineRule="exact"/>
        <w:ind w:left="-1" w:firstLine="640" w:firstLineChars="200"/>
        <w:rPr>
          <w:rFonts w:hint="eastAsia" w:ascii="仿宋_GB2312" w:hAnsi="仿宋" w:eastAsia="仿宋_GB2312" w:cs="宋体"/>
          <w:color w:val="000000"/>
          <w:kern w:val="0"/>
          <w:sz w:val="32"/>
          <w:szCs w:val="32"/>
          <w:lang w:val="e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C56016F-C80A-4A93-83CD-A1CCFE3CCD14}"/>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2023D6FB-0592-455D-B148-85DFF199FED7}"/>
  </w:font>
  <w:font w:name="方正小标宋简体">
    <w:panose1 w:val="02000000000000000000"/>
    <w:charset w:val="86"/>
    <w:family w:val="auto"/>
    <w:pitch w:val="default"/>
    <w:sig w:usb0="00000001" w:usb1="080E0000" w:usb2="00000000" w:usb3="00000000" w:csb0="00040000" w:csb1="00000000"/>
    <w:embedRegular r:id="rId3" w:fontKey="{2B855F6C-B102-4B41-86CA-263C165DECC2}"/>
  </w:font>
  <w:font w:name="仿宋_GB2312">
    <w:altName w:val="仿宋"/>
    <w:panose1 w:val="02010609030101010101"/>
    <w:charset w:val="86"/>
    <w:family w:val="modern"/>
    <w:pitch w:val="default"/>
    <w:sig w:usb0="00000000" w:usb1="00000000" w:usb2="00000000" w:usb3="00000000" w:csb0="00040000" w:csb1="00000000"/>
    <w:embedRegular r:id="rId4" w:fontKey="{DE913AE0-920C-4B91-9A41-C6046579F80E}"/>
  </w:font>
  <w:font w:name="等线">
    <w:panose1 w:val="02010600030101010101"/>
    <w:charset w:val="86"/>
    <w:family w:val="auto"/>
    <w:pitch w:val="default"/>
    <w:sig w:usb0="A00002BF" w:usb1="38CF7CFA" w:usb2="00000016" w:usb3="00000000" w:csb0="0004000F" w:csb1="00000000"/>
    <w:embedRegular r:id="rId5" w:fontKey="{B28068BD-6241-4C00-B7A4-EF9531447CE8}"/>
  </w:font>
  <w:font w:name="仿宋">
    <w:panose1 w:val="02010609060101010101"/>
    <w:charset w:val="86"/>
    <w:family w:val="modern"/>
    <w:pitch w:val="default"/>
    <w:sig w:usb0="800002BF" w:usb1="38CF7CFA" w:usb2="00000016" w:usb3="00000000" w:csb0="00040001" w:csb1="00000000"/>
    <w:embedRegular r:id="rId6" w:fontKey="{02B62F6D-E83B-433A-A201-22A0904B4FB8}"/>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wMDYwYWNiY2E3OTIxYTYwZGQyYzAwOGE1MWNjMzkifQ=="/>
  </w:docVars>
  <w:rsids>
    <w:rsidRoot w:val="0B7216EA"/>
    <w:rsid w:val="0B7216EA"/>
    <w:rsid w:val="7D5968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1418</Words>
  <Characters>1436</Characters>
  <Lines>0</Lines>
  <Paragraphs>0</Paragraphs>
  <TotalTime>0</TotalTime>
  <ScaleCrop>false</ScaleCrop>
  <LinksUpToDate>false</LinksUpToDate>
  <CharactersWithSpaces>1439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2023-05-31T08:50:00Z</dcterms:created>
  <dc:creator>it's 刘</dc:creator>
  <cp:lastModifiedBy>it's 刘</cp:lastModifiedBy>
  <dcterms:modified xsi:type="dcterms:W3CDTF">2023-05-31T08:52:34Z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580BB65454204757AD713E29D94B7F69_11</vt:lpwstr>
  </property>
</Properties>
</file>